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PrEx>
        <w:trPr>
          <w:tblCellSpacing w:w="0" w:type="dxa"/>
        </w:trPr>
        <w:tc>
          <w:tcPr>
            <w:tcW w:w="8306" w:type="dxa"/>
            <w:shd w:val="clear"/>
            <w:vAlign w:val="center"/>
          </w:tcPr>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555" w:hRule="atLeast"/>
                <w:tblCellSpacing w:w="0" w:type="dxa"/>
              </w:trPr>
              <w:tc>
                <w:tcPr>
                  <w:tcW w:w="8306" w:type="dxa"/>
                  <w:shd w:val="clear"/>
                  <w:vAlign w:val="center"/>
                </w:tcPr>
                <w:p>
                  <w:pPr>
                    <w:keepNext w:val="0"/>
                    <w:keepLines w:val="0"/>
                    <w:widowControl/>
                    <w:suppressLineNumbers w:val="0"/>
                    <w:spacing w:before="0" w:beforeAutospacing="0" w:after="0" w:afterAutospacing="0" w:line="640" w:lineRule="atLeast"/>
                    <w:ind w:left="0" w:right="0"/>
                    <w:jc w:val="center"/>
                    <w:rPr>
                      <w:rFonts w:hint="eastAsia" w:ascii="宋体" w:hAnsi="宋体" w:eastAsia="宋体" w:cs="宋体"/>
                      <w:b/>
                      <w:color w:val="185895"/>
                      <w:sz w:val="36"/>
                      <w:szCs w:val="36"/>
                    </w:rPr>
                  </w:pPr>
                  <w:bookmarkStart w:id="2" w:name="_GoBack"/>
                  <w:r>
                    <w:rPr>
                      <w:rFonts w:hint="eastAsia" w:ascii="宋体" w:hAnsi="宋体" w:eastAsia="宋体" w:cs="宋体"/>
                      <w:b/>
                      <w:color w:val="185895"/>
                      <w:kern w:val="0"/>
                      <w:sz w:val="36"/>
                      <w:szCs w:val="36"/>
                      <w:bdr w:val="none" w:color="auto" w:sz="0" w:space="0"/>
                      <w:lang w:val="en-US" w:eastAsia="zh-CN" w:bidi="ar"/>
                    </w:rPr>
                    <w:t>财政部关于印发《其他专业资格人员担任特殊</w:t>
                  </w:r>
                  <w:r>
                    <w:rPr>
                      <w:rFonts w:hint="eastAsia" w:ascii="宋体" w:hAnsi="宋体" w:eastAsia="宋体" w:cs="宋体"/>
                      <w:b/>
                      <w:color w:val="185895"/>
                      <w:kern w:val="0"/>
                      <w:sz w:val="36"/>
                      <w:szCs w:val="36"/>
                      <w:bdr w:val="none" w:color="auto" w:sz="0" w:space="0"/>
                      <w:lang w:val="en-US" w:eastAsia="zh-CN" w:bidi="ar"/>
                    </w:rPr>
                    <w:br w:type="textWrapping"/>
                  </w:r>
                  <w:r>
                    <w:rPr>
                      <w:rFonts w:hint="eastAsia" w:ascii="宋体" w:hAnsi="宋体" w:eastAsia="宋体" w:cs="宋体"/>
                      <w:b/>
                      <w:color w:val="185895"/>
                      <w:kern w:val="0"/>
                      <w:sz w:val="36"/>
                      <w:szCs w:val="36"/>
                      <w:bdr w:val="none" w:color="auto" w:sz="0" w:space="0"/>
                      <w:lang w:val="en-US" w:eastAsia="zh-CN" w:bidi="ar"/>
                    </w:rPr>
                    <w:t>普通合伙会计师事务所合伙人暂行办法》的通知</w:t>
                  </w:r>
                  <w:bookmarkEnd w:id="2"/>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16" w:hRule="atLeast"/>
                <w:tblCellSpacing w:w="0" w:type="dxa"/>
                <w:hidden/>
              </w:trPr>
              <w:tc>
                <w:tcPr>
                  <w:tcW w:w="8306" w:type="dxa"/>
                  <w:shd w:val="clear"/>
                  <w:vAlign w:val="center"/>
                </w:tcPr>
                <w:p>
                  <w:pPr>
                    <w:keepNext w:val="0"/>
                    <w:keepLines w:val="0"/>
                    <w:widowControl/>
                    <w:suppressLineNumbers w:val="0"/>
                    <w:spacing w:line="320" w:lineRule="atLeast"/>
                    <w:jc w:val="center"/>
                    <w:rPr>
                      <w:color w:val="99C2E2"/>
                    </w:rPr>
                  </w:pPr>
                  <w:r>
                    <w:rPr>
                      <w:vanish/>
                      <w:sz w:val="24"/>
                      <w:szCs w:val="24"/>
                    </w:rPr>
                    <w:pict>
                      <v:rect id="_x0000_i1025" o:spt="1" style="height:1.5pt;width:525pt;" fillcolor="#99C2E2" filled="t" stroked="f" coordsize="21600,21600" o:hr="t" o:hrstd="t" o:hrnoshade="t" o:hrpct="0" o:hralign="center">
                        <v:path/>
                        <v:fill on="t" focussize="0,0"/>
                        <v:stroke on="f"/>
                        <v:imagedata o:title=""/>
                        <o:lock v:ext="edit"/>
                        <w10:wrap type="none"/>
                        <w10:anchorlock/>
                      </v:rect>
                    </w:pict>
                  </w:r>
                </w:p>
              </w:tc>
            </w:tr>
          </w:tbl>
          <w:p>
            <w:pPr>
              <w:rPr>
                <w:vanish/>
                <w:sz w:val="24"/>
                <w:szCs w:val="24"/>
              </w:rPr>
            </w:pP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PrEx>
              <w:trPr>
                <w:tblCellSpacing w:w="0" w:type="dxa"/>
              </w:trPr>
              <w:tc>
                <w:tcPr>
                  <w:tcW w:w="8306" w:type="dxa"/>
                  <w:shd w:val="clear"/>
                  <w:vAlign w:val="center"/>
                </w:tcPr>
                <w:p>
                  <w:pPr>
                    <w:jc w:val="left"/>
                    <w:rPr>
                      <w:rFonts w:hint="eastAsia" w:ascii="宋体" w:hAnsi="宋体" w:eastAsia="宋体" w:cs="宋体"/>
                      <w:sz w:val="24"/>
                      <w:szCs w:val="24"/>
                    </w:rPr>
                  </w:pPr>
                </w:p>
              </w:tc>
            </w:tr>
          </w:tbl>
          <w:p>
            <w:pPr>
              <w:jc w:val="left"/>
              <w:rPr>
                <w:rFonts w:hint="eastAsia" w:ascii="宋体" w:hAnsi="宋体" w:eastAsia="宋体" w:cs="宋体"/>
                <w:i w:val="0"/>
                <w:caps w:val="0"/>
                <w:color w:val="000000"/>
                <w:spacing w:val="0"/>
                <w:sz w:val="18"/>
                <w:szCs w:val="18"/>
                <w:u w:val="none"/>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140" w:hRule="atLeast"/>
                <w:tblCellSpacing w:w="0" w:type="dxa"/>
              </w:trPr>
              <w:tc>
                <w:tcPr>
                  <w:tcW w:w="8306" w:type="dxa"/>
                  <w:shd w:val="clear" w:color="auto" w:fill="FFFFFF"/>
                  <w:vAlign w:val="top"/>
                </w:tcPr>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center"/>
                          <w:rPr>
                            <w:rFonts w:ascii="Arial" w:hAnsi="Arial" w:cs="Arial"/>
                            <w:sz w:val="24"/>
                            <w:szCs w:val="24"/>
                          </w:rPr>
                        </w:pPr>
                        <w:r>
                          <w:rPr>
                            <w:rFonts w:hint="default" w:ascii="Arial" w:hAnsi="Arial" w:eastAsia="宋体" w:cs="Arial"/>
                            <w:sz w:val="24"/>
                            <w:szCs w:val="24"/>
                            <w:bdr w:val="none" w:color="auto" w:sz="0" w:space="0"/>
                          </w:rPr>
                          <w:t>　　</w:t>
                        </w:r>
                        <w:bookmarkStart w:id="0" w:name="sendNo"/>
                        <w:r>
                          <w:rPr>
                            <w:rFonts w:hint="default" w:ascii="Arial" w:hAnsi="Arial" w:eastAsia="宋体" w:cs="Arial"/>
                            <w:color w:val="0051A8"/>
                            <w:sz w:val="24"/>
                            <w:szCs w:val="24"/>
                            <w:u w:val="single"/>
                            <w:bdr w:val="none" w:color="auto" w:sz="0" w:space="0"/>
                          </w:rPr>
                          <w:t>财会〔2018〕4号</w:t>
                        </w:r>
                        <w:bookmarkEnd w:id="0"/>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center"/>
                          <w:rPr>
                            <w:rFonts w:hint="default" w:ascii="Arial" w:hAnsi="Arial" w:cs="Arial"/>
                            <w:sz w:val="24"/>
                            <w:szCs w:val="24"/>
                          </w:rPr>
                        </w:pP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bookmarkStart w:id="1" w:name="toDeptId"/>
                        <w:r>
                          <w:rPr>
                            <w:rFonts w:hint="default" w:ascii="Arial" w:hAnsi="Arial" w:eastAsia="仿宋" w:cs="Arial"/>
                            <w:color w:val="0051A8"/>
                            <w:sz w:val="24"/>
                            <w:szCs w:val="24"/>
                            <w:u w:val="single"/>
                            <w:bdr w:val="none" w:color="auto" w:sz="0" w:space="0"/>
                          </w:rPr>
                          <w:t>各省、自治区、直辖市财政厅（局），深圳市财政委员会</w:t>
                        </w:r>
                        <w:bookmarkEnd w:id="1"/>
                        <w:r>
                          <w:rPr>
                            <w:rFonts w:hint="default" w:ascii="Arial" w:hAnsi="Arial" w:eastAsia="仿宋" w:cs="Arial"/>
                            <w:sz w:val="24"/>
                            <w:szCs w:val="24"/>
                            <w:bdr w:val="none" w:color="auto" w:sz="0" w:space="0"/>
                          </w:rPr>
                          <w:t>：</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仿宋" w:cs="Arial"/>
                            <w:sz w:val="24"/>
                            <w:szCs w:val="24"/>
                            <w:bdr w:val="none" w:color="auto" w:sz="0" w:space="0"/>
                          </w:rPr>
                          <w:t>为做好《会计师事务所执业许可和监督管理办法》（财政部令第89号）的贯彻实施，不断激发会计服务市场活力，推动会计师事务所规范可持续发展，我部制定了《其他专业资格人员担任特殊普通合伙会计师事务所合伙人暂行办法》，现予印发，自2018年3月1日起施行。</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仿宋" w:cs="Arial"/>
                            <w:sz w:val="24"/>
                            <w:szCs w:val="24"/>
                            <w:bdr w:val="none" w:color="auto" w:sz="0" w:space="0"/>
                          </w:rPr>
                          <w:t> </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仿宋" w:cs="Arial"/>
                            <w:sz w:val="24"/>
                            <w:szCs w:val="24"/>
                            <w:bdr w:val="none" w:color="auto" w:sz="0" w:space="0"/>
                          </w:rPr>
                          <w:t>附件：其他专业资格人员担任特殊普通合伙会计师事务所合伙人暂行办法</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仿宋" w:cs="Arial"/>
                            <w:sz w:val="24"/>
                            <w:szCs w:val="24"/>
                            <w:bdr w:val="none" w:color="auto" w:sz="0" w:space="0"/>
                          </w:rPr>
                          <w:t> </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仿宋" w:cs="Arial"/>
                            <w:sz w:val="24"/>
                            <w:szCs w:val="24"/>
                            <w:bdr w:val="none" w:color="auto" w:sz="0" w:space="0"/>
                          </w:rPr>
                          <w:t>财  政  部</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仿宋" w:cs="Arial"/>
                            <w:sz w:val="24"/>
                            <w:szCs w:val="24"/>
                            <w:bdr w:val="none" w:color="auto" w:sz="0" w:space="0"/>
                          </w:rPr>
                          <w:t>2018年2月6日</w:t>
                        </w: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仿宋" w:cs="Arial"/>
                            <w:sz w:val="24"/>
                            <w:szCs w:val="24"/>
                            <w:bdr w:val="none" w:color="auto" w:sz="0" w:space="0"/>
                          </w:rPr>
                          <w:t>　　</w:t>
                        </w:r>
                        <w:r>
                          <w:rPr>
                            <w:rFonts w:hint="default" w:ascii="Arial" w:hAnsi="Arial" w:eastAsia="仿宋" w:cs="Arial"/>
                            <w:b/>
                            <w:sz w:val="24"/>
                            <w:szCs w:val="24"/>
                            <w:bdr w:val="none" w:color="auto" w:sz="0" w:space="0"/>
                          </w:rPr>
                          <w:t>附件：</w:t>
                        </w:r>
                        <w:r>
                          <w:rPr>
                            <w:rFonts w:hint="default" w:ascii="Arial" w:hAnsi="Arial" w:eastAsia="仿宋"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center"/>
                          <w:rPr>
                            <w:rFonts w:hint="default" w:ascii="Arial" w:hAnsi="Arial" w:cs="Arial"/>
                            <w:sz w:val="24"/>
                            <w:szCs w:val="24"/>
                          </w:rPr>
                        </w:pPr>
                        <w:r>
                          <w:rPr>
                            <w:rFonts w:hint="default" w:ascii="Arial" w:hAnsi="Arial" w:eastAsia="宋体" w:cs="Arial"/>
                            <w:sz w:val="24"/>
                            <w:szCs w:val="24"/>
                            <w:bdr w:val="none" w:color="auto" w:sz="0" w:space="0"/>
                          </w:rPr>
                          <w:t>　　其他专业资格人员担任特殊普通合伙会计师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center"/>
                          <w:rPr>
                            <w:rFonts w:hint="default" w:ascii="Arial" w:hAnsi="Arial" w:cs="Arial"/>
                            <w:sz w:val="24"/>
                            <w:szCs w:val="24"/>
                          </w:rPr>
                        </w:pPr>
                        <w:r>
                          <w:rPr>
                            <w:rFonts w:hint="default" w:ascii="Arial" w:hAnsi="Arial" w:eastAsia="宋体" w:cs="Arial"/>
                            <w:sz w:val="24"/>
                            <w:szCs w:val="24"/>
                            <w:bdr w:val="none" w:color="auto" w:sz="0" w:space="0"/>
                          </w:rPr>
                          <w:t>　　事务所合伙人暂行办法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b/>
                            <w:sz w:val="24"/>
                            <w:szCs w:val="24"/>
                            <w:bdr w:val="none" w:color="auto" w:sz="0" w:space="0"/>
                          </w:rPr>
                          <w:t>       第一条</w:t>
                        </w:r>
                        <w:r>
                          <w:rPr>
                            <w:rFonts w:hint="default" w:ascii="Arial" w:hAnsi="Arial" w:eastAsia="宋体" w:cs="Arial"/>
                            <w:sz w:val="24"/>
                            <w:szCs w:val="24"/>
                            <w:bdr w:val="none" w:color="auto" w:sz="0" w:space="0"/>
                          </w:rPr>
                          <w:t>  为规范其他专业资格人员担任特殊普通合伙会计师事务所合伙人的管理，根据《会计师事务所执业许可和监督管理办法》（财政部令第89号），制定本办法。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第二条</w:t>
                        </w:r>
                        <w:r>
                          <w:rPr>
                            <w:rFonts w:hint="default" w:ascii="Arial" w:hAnsi="Arial" w:eastAsia="宋体" w:cs="Arial"/>
                            <w:sz w:val="24"/>
                            <w:szCs w:val="24"/>
                            <w:bdr w:val="none" w:color="auto" w:sz="0" w:space="0"/>
                          </w:rPr>
                          <w:t>  不符合《会计师事务所执业许可和监督管理办法》第十一条第一款第一项和第三项规定的条件，但具有中国资产评估师、中国税务师、中国造价工程师职业资格的人员，符合下列条件的，可以担任特殊普通合伙会计师事务所的合伙人（以下简称其他专业资格合伙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（一）在会计师事务所专职工作；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（二）未受过刑事处罚；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（三）成为合伙人前3年内未因执业行为受到行政处罚；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（四）取得上述职业资格后最近连续5年从事与该资格相关的工作；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（五）在境内有稳定住所，每年在境内居留不少于6个月，且最近连续居留已满5年。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第三条</w:t>
                        </w:r>
                        <w:r>
                          <w:rPr>
                            <w:rFonts w:hint="default" w:ascii="Arial" w:hAnsi="Arial" w:eastAsia="宋体" w:cs="Arial"/>
                            <w:sz w:val="24"/>
                            <w:szCs w:val="24"/>
                            <w:bdr w:val="none" w:color="auto" w:sz="0" w:space="0"/>
                          </w:rPr>
                          <w:t>  其他专业资格合伙人在特殊普通合伙会计师事务所合伙人总数中的比例，以及在合伙人管理委员会总人数中的比例不得超过20%。其他专业资格合伙人所持有的合伙财产份额不得超过会计师事务所合伙财产的20%，且任一其他专业资格合伙人所持有的合伙财产份额均不得位居合伙人合伙财产份额前5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第四条 </w:t>
                        </w:r>
                        <w:r>
                          <w:rPr>
                            <w:rFonts w:hint="default" w:ascii="Arial" w:hAnsi="Arial" w:eastAsia="宋体" w:cs="Arial"/>
                            <w:sz w:val="24"/>
                            <w:szCs w:val="24"/>
                            <w:bdr w:val="none" w:color="auto" w:sz="0" w:space="0"/>
                          </w:rPr>
                          <w:t> 其他专业资格合伙人可以担任特殊普通合伙会计师事务所履行内部特定管理职责或者从事咨询业务的合伙人，但不得担任会计师事务所首席合伙人、执行合伙事务的合伙人和分所负责人，不得以任何形式对该会计师事务所实施控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第五条 </w:t>
                        </w:r>
                        <w:r>
                          <w:rPr>
                            <w:rFonts w:hint="default" w:ascii="Arial" w:hAnsi="Arial" w:eastAsia="宋体" w:cs="Arial"/>
                            <w:sz w:val="24"/>
                            <w:szCs w:val="24"/>
                            <w:bdr w:val="none" w:color="auto" w:sz="0" w:space="0"/>
                          </w:rPr>
                          <w:t> 有其他专业资格人员担任合伙人的特殊普通合伙会计师事务所向所在地省级财政部门申请执业许可时，除了提交《会计师事务所执业许可和监督管理办法》规定的材料外，还应当提交与其他专业资格合伙人有关的下列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（一）其他专业资格合伙人情况表（附表）；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（二）有效身份证明；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（三）相关职业资格证书复印件；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（四）符合本办法第二条第二项规定条件的书面承诺函；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五）由省级行业协会或者主管部门出具的符合本办法第二条第三项和第四项规定条件的证明，造价工程师连续5年从事与该资格相关工作的证明由该工作经历所在单位出具，资产评估师前3年内因执业行为受行政处罚情况无需提供证明，由省级财政部门自行查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（六）近1年的社保缴费记录，退休人员提供退休证复印件。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其他专业资格合伙人是境外人员或移居境外人员的，还应当提交符合本办法第二条第五项条件的住所有效证明和居留时间有效证明及承诺函。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第六条</w:t>
                        </w:r>
                        <w:r>
                          <w:rPr>
                            <w:rFonts w:hint="default" w:ascii="Arial" w:hAnsi="Arial" w:eastAsia="宋体" w:cs="Arial"/>
                            <w:sz w:val="24"/>
                            <w:szCs w:val="24"/>
                            <w:bdr w:val="none" w:color="auto" w:sz="0" w:space="0"/>
                          </w:rPr>
                          <w:t>  特殊普通合伙会计师事务所新增或变更其他专业资格合伙人的，应当按照《会计师事务所执业许可和监督管理办法》第三十三条、第三十四条规定向所在地省级财政部门进行备案。对于新增加的合伙人，还应当提交本办法第五条规定的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第七条 </w:t>
                        </w:r>
                        <w:r>
                          <w:rPr>
                            <w:rFonts w:hint="default" w:ascii="Arial" w:hAnsi="Arial" w:eastAsia="宋体" w:cs="Arial"/>
                            <w:sz w:val="24"/>
                            <w:szCs w:val="24"/>
                            <w:bdr w:val="none" w:color="auto" w:sz="0" w:space="0"/>
                          </w:rPr>
                          <w:t> 有其他专业资格人员担任合伙人的特殊普通合伙会计师事务所按照《会计师事务所执业许可和监督管理办法》向省级财政部门进行年度报备或者跨省级行政区划迁移备案时，还应当报送其他专业资格合伙人情况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第八条</w:t>
                        </w:r>
                        <w:r>
                          <w:rPr>
                            <w:rFonts w:hint="default" w:ascii="Arial" w:hAnsi="Arial" w:eastAsia="宋体" w:cs="Arial"/>
                            <w:sz w:val="24"/>
                            <w:szCs w:val="24"/>
                            <w:bdr w:val="none" w:color="auto" w:sz="0" w:space="0"/>
                          </w:rPr>
                          <w:t>  省级财政部门发现特殊普通合伙会计师事务所的其他专业资格合伙人不符合本办法规定的，应当按照《会计师事务所执业许可和监督管理办法》第五十九条规定处理。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第九条</w:t>
                        </w:r>
                        <w:r>
                          <w:rPr>
                            <w:rFonts w:hint="default" w:ascii="Arial" w:hAnsi="Arial" w:eastAsia="宋体" w:cs="Arial"/>
                            <w:sz w:val="24"/>
                            <w:szCs w:val="24"/>
                            <w:bdr w:val="none" w:color="auto" w:sz="0" w:space="0"/>
                          </w:rPr>
                          <w:t>  同时持有中国注册会计师执业资格和其他专业资格，但以其他专业资格身份成为特殊普通合伙会计师事务所合伙人的，适用本办法。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0"/>
                          <w:jc w:val="both"/>
                          <w:rPr>
                            <w:rFonts w:hint="default" w:ascii="Arial" w:hAnsi="Arial" w:cs="Arial"/>
                            <w:sz w:val="24"/>
                            <w:szCs w:val="24"/>
                          </w:rPr>
                        </w:pPr>
                        <w:r>
                          <w:rPr>
                            <w:rFonts w:hint="default" w:ascii="Arial" w:hAnsi="Arial" w:eastAsia="宋体" w:cs="Arial"/>
                            <w:sz w:val="24"/>
                            <w:szCs w:val="24"/>
                            <w:bdr w:val="none" w:color="auto" w:sz="0" w:space="0"/>
                          </w:rPr>
                          <w:t>　　</w:t>
                        </w:r>
                        <w:r>
                          <w:rPr>
                            <w:rFonts w:hint="default" w:ascii="Arial" w:hAnsi="Arial" w:eastAsia="宋体" w:cs="Arial"/>
                            <w:b/>
                            <w:sz w:val="24"/>
                            <w:szCs w:val="24"/>
                            <w:bdr w:val="none" w:color="auto" w:sz="0" w:space="0"/>
                          </w:rPr>
                          <w:t>第十条</w:t>
                        </w:r>
                        <w:r>
                          <w:rPr>
                            <w:rFonts w:hint="default" w:ascii="Arial" w:hAnsi="Arial" w:eastAsia="宋体" w:cs="Arial"/>
                            <w:sz w:val="24"/>
                            <w:szCs w:val="24"/>
                            <w:bdr w:val="none" w:color="auto" w:sz="0" w:space="0"/>
                          </w:rPr>
                          <w:t>     本办法自2018年3月1日起施行。 </w:t>
                        </w:r>
                      </w:p>
                    </w:tc>
                  </w:tr>
                </w:tbl>
                <w:p>
                  <w:pPr>
                    <w:jc w:val="center"/>
                    <w:rPr>
                      <w:rFonts w:hint="eastAsia" w:ascii="宋体" w:hAnsi="宋体" w:eastAsia="宋体" w:cs="宋体"/>
                      <w:sz w:val="18"/>
                      <w:szCs w:val="18"/>
                    </w:rPr>
                  </w:pPr>
                </w:p>
              </w:tc>
            </w:tr>
          </w:tbl>
          <w:p>
            <w:pPr>
              <w:jc w:val="left"/>
              <w:rPr>
                <w:rFonts w:hint="eastAsia" w:ascii="宋体" w:hAnsi="宋体" w:eastAsia="宋体" w:cs="宋体"/>
                <w:i w:val="0"/>
                <w:caps w:val="0"/>
                <w:color w:val="000000"/>
                <w:spacing w:val="0"/>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10012"/>
    <w:rsid w:val="19F100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2018-03-05T03:15:00Z</dcterms:created>
  <dc:creator>Administrator</dc:creator>
  <cp:lastModifiedBy>Administrator</cp:lastModifiedBy>
  <dcterms:modified xsi:type="dcterms:W3CDTF">2018-03-05T03:16:54Z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